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D2D7" w14:textId="4D27CC68" w:rsidR="00A9574C" w:rsidRPr="00353942" w:rsidRDefault="00353942" w:rsidP="00353942">
      <w:pPr>
        <w:jc w:val="center"/>
        <w:rPr>
          <w:rFonts w:ascii="Arial" w:hAnsi="Arial" w:cs="Arial"/>
          <w:b/>
          <w:bCs/>
          <w:sz w:val="28"/>
          <w:szCs w:val="28"/>
        </w:rPr>
      </w:pPr>
      <w:r w:rsidRPr="00353942">
        <w:rPr>
          <w:rFonts w:ascii="Arial" w:hAnsi="Arial" w:cs="Arial"/>
          <w:b/>
          <w:bCs/>
          <w:sz w:val="28"/>
          <w:szCs w:val="28"/>
        </w:rPr>
        <w:t>Réponses attendues suite à la réunion publique du 4 mars</w:t>
      </w:r>
    </w:p>
    <w:p w14:paraId="73A1A401" w14:textId="77777777" w:rsidR="008906D6" w:rsidRPr="00353942" w:rsidRDefault="008906D6">
      <w:pPr>
        <w:rPr>
          <w:rFonts w:ascii="Arial" w:hAnsi="Arial" w:cs="Arial"/>
        </w:rPr>
      </w:pPr>
    </w:p>
    <w:p w14:paraId="5F31D6EC" w14:textId="1B3C328B" w:rsidR="008906D6" w:rsidRPr="00353942" w:rsidRDefault="008906D6">
      <w:pPr>
        <w:rPr>
          <w:rFonts w:ascii="Arial" w:hAnsi="Arial" w:cs="Arial"/>
          <w:sz w:val="24"/>
          <w:szCs w:val="24"/>
        </w:rPr>
      </w:pPr>
      <w:r w:rsidRPr="00353942">
        <w:rPr>
          <w:rFonts w:ascii="Arial" w:hAnsi="Arial" w:cs="Arial"/>
          <w:b/>
          <w:bCs/>
          <w:sz w:val="24"/>
          <w:szCs w:val="24"/>
        </w:rPr>
        <w:t>Sur le bruit</w:t>
      </w:r>
      <w:r w:rsidRPr="00353942">
        <w:rPr>
          <w:rFonts w:ascii="Arial" w:hAnsi="Arial" w:cs="Arial"/>
          <w:sz w:val="24"/>
          <w:szCs w:val="24"/>
        </w:rPr>
        <w:t>.  L’étude d’impact n’aborde ce sujet que pour la phase forage. Il y a aussi la phase premiers essais de pompage, puis la phase essais de pompage de longue durée. Quelles mesures seront prises pour déduire les nuisances ?</w:t>
      </w:r>
    </w:p>
    <w:p w14:paraId="119A4F01" w14:textId="06ECD4AC" w:rsidR="008906D6" w:rsidRPr="00353942" w:rsidRDefault="008906D6">
      <w:pPr>
        <w:rPr>
          <w:rFonts w:ascii="Arial" w:hAnsi="Arial" w:cs="Arial"/>
          <w:sz w:val="24"/>
          <w:szCs w:val="24"/>
        </w:rPr>
      </w:pPr>
      <w:r w:rsidRPr="00353942">
        <w:rPr>
          <w:rFonts w:ascii="Arial" w:hAnsi="Arial" w:cs="Arial"/>
          <w:sz w:val="24"/>
          <w:szCs w:val="24"/>
        </w:rPr>
        <w:t xml:space="preserve">Il serait nécessaire qu’avant la fin de la consultation vous </w:t>
      </w:r>
      <w:r w:rsidR="00F740BC" w:rsidRPr="00353942">
        <w:rPr>
          <w:rFonts w:ascii="Arial" w:hAnsi="Arial" w:cs="Arial"/>
          <w:sz w:val="24"/>
          <w:szCs w:val="24"/>
        </w:rPr>
        <w:t>puissiez certifier</w:t>
      </w:r>
      <w:r w:rsidRPr="00353942">
        <w:rPr>
          <w:rFonts w:ascii="Arial" w:hAnsi="Arial" w:cs="Arial"/>
          <w:sz w:val="24"/>
          <w:szCs w:val="24"/>
        </w:rPr>
        <w:t xml:space="preserve"> qu’un raccordement électrique du site est possible (à quelle phase ? comment ?) et que vous vous engagiez à utiliser cette solution.</w:t>
      </w:r>
    </w:p>
    <w:p w14:paraId="3EB17572" w14:textId="7685B918" w:rsidR="008906D6" w:rsidRPr="00353942" w:rsidRDefault="008906D6">
      <w:pPr>
        <w:rPr>
          <w:rFonts w:ascii="Arial" w:hAnsi="Arial" w:cs="Arial"/>
          <w:sz w:val="24"/>
          <w:szCs w:val="24"/>
        </w:rPr>
      </w:pPr>
      <w:r w:rsidRPr="00353942">
        <w:rPr>
          <w:rFonts w:ascii="Arial" w:hAnsi="Arial" w:cs="Arial"/>
          <w:sz w:val="24"/>
          <w:szCs w:val="24"/>
        </w:rPr>
        <w:t>Si ce n’est pas possible, il faudrait en apporter la justification.</w:t>
      </w:r>
    </w:p>
    <w:p w14:paraId="796C4DB4" w14:textId="1EAE7F33" w:rsidR="0025101E" w:rsidRPr="00353942" w:rsidRDefault="0025101E" w:rsidP="0025101E">
      <w:pPr>
        <w:rPr>
          <w:rFonts w:ascii="Arial" w:hAnsi="Arial" w:cs="Arial"/>
          <w:b/>
          <w:bCs/>
          <w:sz w:val="24"/>
          <w:szCs w:val="24"/>
        </w:rPr>
      </w:pPr>
      <w:r w:rsidRPr="00353942">
        <w:rPr>
          <w:rFonts w:ascii="Arial" w:hAnsi="Arial" w:cs="Arial"/>
          <w:b/>
          <w:bCs/>
          <w:sz w:val="24"/>
          <w:szCs w:val="24"/>
        </w:rPr>
        <w:t>sismicité</w:t>
      </w:r>
    </w:p>
    <w:p w14:paraId="40F44C63" w14:textId="3137CF26" w:rsidR="0025101E" w:rsidRPr="00353942" w:rsidRDefault="0025101E" w:rsidP="0025101E">
      <w:pPr>
        <w:rPr>
          <w:rFonts w:ascii="Arial" w:hAnsi="Arial" w:cs="Arial"/>
          <w:sz w:val="24"/>
          <w:szCs w:val="24"/>
        </w:rPr>
      </w:pPr>
      <w:r w:rsidRPr="00353942">
        <w:rPr>
          <w:rFonts w:ascii="Arial" w:hAnsi="Arial" w:cs="Arial"/>
          <w:sz w:val="24"/>
          <w:szCs w:val="24"/>
        </w:rPr>
        <w:t>Confirmer qu’il n’y a pas de risques sismiques liés au forage et à son exploitation</w:t>
      </w:r>
    </w:p>
    <w:p w14:paraId="7C1A47D2" w14:textId="045EC2E1" w:rsidR="00093815" w:rsidRPr="00353942" w:rsidRDefault="00093815" w:rsidP="0025101E">
      <w:pPr>
        <w:rPr>
          <w:rFonts w:ascii="Arial" w:hAnsi="Arial" w:cs="Arial"/>
          <w:b/>
          <w:bCs/>
          <w:sz w:val="24"/>
          <w:szCs w:val="24"/>
        </w:rPr>
      </w:pPr>
      <w:r w:rsidRPr="00353942">
        <w:rPr>
          <w:rFonts w:ascii="Arial" w:hAnsi="Arial" w:cs="Arial"/>
          <w:b/>
          <w:bCs/>
          <w:sz w:val="24"/>
          <w:szCs w:val="24"/>
        </w:rPr>
        <w:t>Remontées d’eau dans les couches supérieures</w:t>
      </w:r>
    </w:p>
    <w:p w14:paraId="0009E571" w14:textId="57231B05" w:rsidR="00093815" w:rsidRPr="00353942" w:rsidRDefault="00093815" w:rsidP="0025101E">
      <w:pPr>
        <w:rPr>
          <w:rFonts w:ascii="Arial" w:hAnsi="Arial" w:cs="Arial"/>
          <w:sz w:val="24"/>
          <w:szCs w:val="24"/>
        </w:rPr>
      </w:pPr>
      <w:r w:rsidRPr="00353942">
        <w:rPr>
          <w:rFonts w:ascii="Arial" w:hAnsi="Arial" w:cs="Arial"/>
          <w:sz w:val="24"/>
          <w:szCs w:val="24"/>
        </w:rPr>
        <w:t>Comment le maître d’ouvrage assure t il l’étanchéité entre la nappe et les argiles. Qui intervient, qui surveille pendant les travaux ?</w:t>
      </w:r>
    </w:p>
    <w:p w14:paraId="37BF1872" w14:textId="117D0DBF" w:rsidR="008906D6" w:rsidRPr="00353942" w:rsidRDefault="008906D6">
      <w:pPr>
        <w:rPr>
          <w:rFonts w:ascii="Arial" w:hAnsi="Arial" w:cs="Arial"/>
          <w:b/>
          <w:bCs/>
          <w:sz w:val="24"/>
          <w:szCs w:val="24"/>
        </w:rPr>
      </w:pPr>
      <w:r w:rsidRPr="00353942">
        <w:rPr>
          <w:rFonts w:ascii="Arial" w:hAnsi="Arial" w:cs="Arial"/>
          <w:b/>
          <w:bCs/>
          <w:sz w:val="24"/>
          <w:szCs w:val="24"/>
        </w:rPr>
        <w:t>Forage exploitable ou non ?</w:t>
      </w:r>
    </w:p>
    <w:p w14:paraId="5B67377E" w14:textId="7A1B10D8" w:rsidR="008906D6" w:rsidRPr="00353942" w:rsidRDefault="009A3DB4">
      <w:pPr>
        <w:rPr>
          <w:rFonts w:ascii="Arial" w:hAnsi="Arial" w:cs="Arial"/>
          <w:sz w:val="24"/>
          <w:szCs w:val="24"/>
        </w:rPr>
      </w:pPr>
      <w:r w:rsidRPr="00353942">
        <w:rPr>
          <w:rFonts w:ascii="Arial" w:hAnsi="Arial" w:cs="Arial"/>
          <w:sz w:val="24"/>
          <w:szCs w:val="24"/>
        </w:rPr>
        <w:t>Quels sont les critères précis auxquels doit répondre le forage (débit, qualité d’eau…) pour que le forage soit déclaré exploitable et que l’entreprise ne soit pas conduite à l’abandonner et donc à le reboucher</w:t>
      </w:r>
    </w:p>
    <w:p w14:paraId="75436785" w14:textId="1E0DB60B" w:rsidR="009A3DB4" w:rsidRPr="00353942" w:rsidRDefault="009A3DB4">
      <w:pPr>
        <w:rPr>
          <w:rFonts w:ascii="Arial" w:hAnsi="Arial" w:cs="Arial"/>
          <w:b/>
          <w:bCs/>
          <w:sz w:val="24"/>
          <w:szCs w:val="24"/>
        </w:rPr>
      </w:pPr>
      <w:r w:rsidRPr="00353942">
        <w:rPr>
          <w:rFonts w:ascii="Arial" w:hAnsi="Arial" w:cs="Arial"/>
          <w:b/>
          <w:bCs/>
          <w:sz w:val="24"/>
          <w:szCs w:val="24"/>
        </w:rPr>
        <w:t>La suite des démarches</w:t>
      </w:r>
    </w:p>
    <w:p w14:paraId="14F4B461" w14:textId="66EBEEFC" w:rsidR="009A3DB4" w:rsidRPr="00353942" w:rsidRDefault="009A3DB4">
      <w:pPr>
        <w:rPr>
          <w:rFonts w:ascii="Arial" w:hAnsi="Arial" w:cs="Arial"/>
          <w:sz w:val="24"/>
          <w:szCs w:val="24"/>
        </w:rPr>
      </w:pPr>
      <w:r w:rsidRPr="00353942">
        <w:rPr>
          <w:rFonts w:ascii="Arial" w:hAnsi="Arial" w:cs="Arial"/>
          <w:sz w:val="24"/>
          <w:szCs w:val="24"/>
        </w:rPr>
        <w:t xml:space="preserve">Si le forage est considéré comme exploitable, décrire la suite des démarches à entreprendre avant que l’eau du nouveau forage puisse être commercialisée. Une idée d’échéancier. Confirmer qu’il n’a </w:t>
      </w:r>
      <w:r w:rsidR="0025101E" w:rsidRPr="00353942">
        <w:rPr>
          <w:rFonts w:ascii="Arial" w:hAnsi="Arial" w:cs="Arial"/>
          <w:sz w:val="24"/>
          <w:szCs w:val="24"/>
        </w:rPr>
        <w:t>plus de consultation du public.</w:t>
      </w:r>
    </w:p>
    <w:p w14:paraId="773D5EBF" w14:textId="7D4099A8" w:rsidR="0025101E" w:rsidRPr="00353942" w:rsidRDefault="0002359D">
      <w:pPr>
        <w:rPr>
          <w:rFonts w:ascii="Arial" w:hAnsi="Arial" w:cs="Arial"/>
          <w:b/>
          <w:bCs/>
          <w:sz w:val="24"/>
          <w:szCs w:val="24"/>
        </w:rPr>
      </w:pPr>
      <w:r w:rsidRPr="00353942">
        <w:rPr>
          <w:rFonts w:ascii="Arial" w:hAnsi="Arial" w:cs="Arial"/>
          <w:b/>
          <w:bCs/>
          <w:sz w:val="24"/>
          <w:szCs w:val="24"/>
        </w:rPr>
        <w:t>Y a t</w:t>
      </w:r>
      <w:r w:rsidR="00353942" w:rsidRPr="00353942">
        <w:rPr>
          <w:rFonts w:ascii="Arial" w:hAnsi="Arial" w:cs="Arial"/>
          <w:b/>
          <w:bCs/>
          <w:sz w:val="24"/>
          <w:szCs w:val="24"/>
        </w:rPr>
        <w:t>’</w:t>
      </w:r>
      <w:r w:rsidRPr="00353942">
        <w:rPr>
          <w:rFonts w:ascii="Arial" w:hAnsi="Arial" w:cs="Arial"/>
          <w:b/>
          <w:bCs/>
          <w:sz w:val="24"/>
          <w:szCs w:val="24"/>
        </w:rPr>
        <w:t>il concurrence avec les sources communales ? La nappe n’est elle pas surexploitée ?</w:t>
      </w:r>
      <w:r w:rsidR="00C90AF0" w:rsidRPr="00353942">
        <w:rPr>
          <w:rFonts w:ascii="Arial" w:hAnsi="Arial" w:cs="Arial"/>
          <w:b/>
          <w:bCs/>
          <w:sz w:val="24"/>
          <w:szCs w:val="24"/>
        </w:rPr>
        <w:t xml:space="preserve"> </w:t>
      </w:r>
    </w:p>
    <w:p w14:paraId="4E5F9F18" w14:textId="3008A783" w:rsidR="0002359D" w:rsidRPr="00353942" w:rsidRDefault="00353942">
      <w:pPr>
        <w:rPr>
          <w:rFonts w:ascii="Arial" w:hAnsi="Arial" w:cs="Arial"/>
          <w:sz w:val="24"/>
          <w:szCs w:val="24"/>
        </w:rPr>
      </w:pPr>
      <w:r w:rsidRPr="00353942">
        <w:rPr>
          <w:rFonts w:ascii="Arial" w:hAnsi="Arial" w:cs="Arial"/>
          <w:sz w:val="24"/>
          <w:szCs w:val="24"/>
        </w:rPr>
        <w:t>C’est un sujet important. Il importe de prouver par tout moyen (coupe géologique, réflexions sur l’artésianisme, analyses d’eau…) l’indépendance des deux ressources pourtant alimentées par le même impluvium.</w:t>
      </w:r>
    </w:p>
    <w:p w14:paraId="7B4ABB3E" w14:textId="76344AAE" w:rsidR="00353942" w:rsidRDefault="00353942">
      <w:pPr>
        <w:rPr>
          <w:rFonts w:ascii="Arial" w:hAnsi="Arial" w:cs="Arial"/>
          <w:sz w:val="24"/>
          <w:szCs w:val="24"/>
        </w:rPr>
      </w:pPr>
      <w:r w:rsidRPr="00353942">
        <w:rPr>
          <w:rFonts w:ascii="Arial" w:hAnsi="Arial" w:cs="Arial"/>
          <w:sz w:val="24"/>
          <w:szCs w:val="24"/>
        </w:rPr>
        <w:t>La diapositive commentée en réunion affirmant le caractère durable de l’exploitation ne semble pas prendre en compte les volumes prélevés aux sources communales. Quelle est la situation une fois cette anomalie corrigée ?</w:t>
      </w:r>
    </w:p>
    <w:p w14:paraId="4C024DBF" w14:textId="77777777" w:rsidR="00264A4B" w:rsidRDefault="00264A4B">
      <w:pPr>
        <w:rPr>
          <w:rFonts w:ascii="Arial" w:hAnsi="Arial" w:cs="Arial"/>
          <w:sz w:val="24"/>
          <w:szCs w:val="24"/>
        </w:rPr>
      </w:pPr>
    </w:p>
    <w:p w14:paraId="75D50074" w14:textId="663435BA" w:rsidR="00264A4B" w:rsidRPr="00353942" w:rsidRDefault="00264A4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Le commissaire enquêteur</w:t>
      </w:r>
    </w:p>
    <w:sectPr w:rsidR="00264A4B" w:rsidRPr="00353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D6"/>
    <w:rsid w:val="00012CAD"/>
    <w:rsid w:val="0002359D"/>
    <w:rsid w:val="0009339B"/>
    <w:rsid w:val="00093815"/>
    <w:rsid w:val="0025101E"/>
    <w:rsid w:val="00264A4B"/>
    <w:rsid w:val="00353942"/>
    <w:rsid w:val="00636B7B"/>
    <w:rsid w:val="008906D6"/>
    <w:rsid w:val="009A3DB4"/>
    <w:rsid w:val="009B6BD9"/>
    <w:rsid w:val="00A9574C"/>
    <w:rsid w:val="00C90AF0"/>
    <w:rsid w:val="00CD312B"/>
    <w:rsid w:val="00CD3505"/>
    <w:rsid w:val="00DA0765"/>
    <w:rsid w:val="00F740BC"/>
    <w:rsid w:val="00F91E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58F7"/>
  <w15:chartTrackingRefBased/>
  <w15:docId w15:val="{7CADA47B-1915-4BC6-9030-0FF46F1A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0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0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06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06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06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06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06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06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06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06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06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06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06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06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06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06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06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06D6"/>
    <w:rPr>
      <w:rFonts w:eastAsiaTheme="majorEastAsia" w:cstheme="majorBidi"/>
      <w:color w:val="272727" w:themeColor="text1" w:themeTint="D8"/>
    </w:rPr>
  </w:style>
  <w:style w:type="paragraph" w:styleId="Titre">
    <w:name w:val="Title"/>
    <w:basedOn w:val="Normal"/>
    <w:next w:val="Normal"/>
    <w:link w:val="TitreCar"/>
    <w:uiPriority w:val="10"/>
    <w:qFormat/>
    <w:rsid w:val="00890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06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06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06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06D6"/>
    <w:pPr>
      <w:spacing w:before="160"/>
      <w:jc w:val="center"/>
    </w:pPr>
    <w:rPr>
      <w:i/>
      <w:iCs/>
      <w:color w:val="404040" w:themeColor="text1" w:themeTint="BF"/>
    </w:rPr>
  </w:style>
  <w:style w:type="character" w:customStyle="1" w:styleId="CitationCar">
    <w:name w:val="Citation Car"/>
    <w:basedOn w:val="Policepardfaut"/>
    <w:link w:val="Citation"/>
    <w:uiPriority w:val="29"/>
    <w:rsid w:val="008906D6"/>
    <w:rPr>
      <w:i/>
      <w:iCs/>
      <w:color w:val="404040" w:themeColor="text1" w:themeTint="BF"/>
    </w:rPr>
  </w:style>
  <w:style w:type="paragraph" w:styleId="Paragraphedeliste">
    <w:name w:val="List Paragraph"/>
    <w:basedOn w:val="Normal"/>
    <w:uiPriority w:val="34"/>
    <w:qFormat/>
    <w:rsid w:val="008906D6"/>
    <w:pPr>
      <w:ind w:left="720"/>
      <w:contextualSpacing/>
    </w:pPr>
  </w:style>
  <w:style w:type="character" w:styleId="Accentuationintense">
    <w:name w:val="Intense Emphasis"/>
    <w:basedOn w:val="Policepardfaut"/>
    <w:uiPriority w:val="21"/>
    <w:qFormat/>
    <w:rsid w:val="008906D6"/>
    <w:rPr>
      <w:i/>
      <w:iCs/>
      <w:color w:val="0F4761" w:themeColor="accent1" w:themeShade="BF"/>
    </w:rPr>
  </w:style>
  <w:style w:type="paragraph" w:styleId="Citationintense">
    <w:name w:val="Intense Quote"/>
    <w:basedOn w:val="Normal"/>
    <w:next w:val="Normal"/>
    <w:link w:val="CitationintenseCar"/>
    <w:uiPriority w:val="30"/>
    <w:qFormat/>
    <w:rsid w:val="00890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06D6"/>
    <w:rPr>
      <w:i/>
      <w:iCs/>
      <w:color w:val="0F4761" w:themeColor="accent1" w:themeShade="BF"/>
    </w:rPr>
  </w:style>
  <w:style w:type="character" w:styleId="Rfrenceintense">
    <w:name w:val="Intense Reference"/>
    <w:basedOn w:val="Policepardfaut"/>
    <w:uiPriority w:val="32"/>
    <w:qFormat/>
    <w:rsid w:val="00890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1593</Characters>
  <Application>Microsoft Office Word</Application>
  <DocSecurity>0</DocSecurity>
  <Lines>30</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LAFOND</dc:creator>
  <cp:keywords/>
  <dc:description/>
  <cp:lastModifiedBy>michel LAFOND</cp:lastModifiedBy>
  <cp:revision>3</cp:revision>
  <dcterms:created xsi:type="dcterms:W3CDTF">2026-04-11T05:53:00Z</dcterms:created>
  <dcterms:modified xsi:type="dcterms:W3CDTF">2026-04-11T05:54:00Z</dcterms:modified>
</cp:coreProperties>
</file>